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80"/>
        <w:gridCol w:w="7913"/>
        <w:gridCol w:w="720"/>
        <w:gridCol w:w="1170"/>
        <w:gridCol w:w="12"/>
      </w:tblGrid>
      <w:tr w:rsidR="00FC3C3F" w:rsidRPr="00BB6CB6" w:rsidTr="00FC3C3F">
        <w:trPr>
          <w:trHeight w:hRule="exact" w:val="267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C3F" w:rsidRPr="00527762" w:rsidRDefault="00FC3C3F" w:rsidP="00FC3C3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C3C3F" w:rsidRPr="00EA2E87" w:rsidRDefault="00FC3C3F" w:rsidP="00313D00">
            <w:pPr>
              <w:pStyle w:val="Heading1"/>
            </w:pPr>
          </w:p>
        </w:tc>
      </w:tr>
      <w:tr w:rsidR="0046079F" w:rsidRPr="00BB6CB6" w:rsidTr="00320E66">
        <w:trPr>
          <w:trHeight w:hRule="exact" w:val="33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EA2E87" w:rsidRDefault="00C93916" w:rsidP="00313D00">
            <w:pPr>
              <w:pStyle w:val="Heading1"/>
              <w:rPr>
                <w:sz w:val="20"/>
                <w:szCs w:val="20"/>
              </w:rPr>
            </w:pPr>
            <w:r w:rsidRPr="00EA2E87">
              <w:t>Medical</w:t>
            </w:r>
            <w:r w:rsidR="00AE5905" w:rsidRPr="00EA2E87">
              <w:t xml:space="preserve"> Assistant</w:t>
            </w:r>
          </w:p>
        </w:tc>
      </w:tr>
      <w:tr w:rsidR="00A7710B" w:rsidRPr="00BB6CB6" w:rsidTr="00320E66">
        <w:trPr>
          <w:trHeight w:hRule="exact" w:val="267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114011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 Technology (AAT)</w:t>
            </w:r>
          </w:p>
        </w:tc>
      </w:tr>
      <w:tr w:rsidR="000F6D64" w:rsidRPr="00BB6CB6" w:rsidTr="00C93916">
        <w:trPr>
          <w:trHeight w:hRule="exact" w:val="270"/>
        </w:trPr>
        <w:tc>
          <w:tcPr>
            <w:tcW w:w="10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6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AE5905">
              <w:rPr>
                <w:rFonts w:cs="Arial"/>
                <w:sz w:val="20"/>
                <w:szCs w:val="20"/>
              </w:rPr>
              <w:t xml:space="preserve"> </w:t>
            </w:r>
            <w:r w:rsidR="00611D61">
              <w:rPr>
                <w:rFonts w:cs="Arial"/>
                <w:sz w:val="20"/>
                <w:szCs w:val="20"/>
              </w:rPr>
              <w:t>Summer</w:t>
            </w:r>
            <w:r w:rsidR="00AE5905">
              <w:rPr>
                <w:rFonts w:cs="Arial"/>
                <w:sz w:val="20"/>
                <w:szCs w:val="20"/>
              </w:rPr>
              <w:t xml:space="preserve"> quarter (Day program), </w:t>
            </w:r>
            <w:r w:rsidR="00611D61">
              <w:rPr>
                <w:rFonts w:cs="Arial"/>
                <w:sz w:val="20"/>
                <w:szCs w:val="20"/>
              </w:rPr>
              <w:t>Winter</w:t>
            </w:r>
            <w:r w:rsidR="00AE5905">
              <w:rPr>
                <w:rFonts w:cs="Arial"/>
                <w:sz w:val="20"/>
                <w:szCs w:val="20"/>
              </w:rPr>
              <w:t xml:space="preserve"> quarter (Evening program).</w:t>
            </w:r>
          </w:p>
        </w:tc>
      </w:tr>
      <w:tr w:rsidR="00A1221B" w:rsidRPr="00BB6CB6" w:rsidTr="00A1221B">
        <w:trPr>
          <w:gridAfter w:val="1"/>
          <w:wAfter w:w="12" w:type="dxa"/>
          <w:trHeight w:hRule="exact" w:val="252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21B" w:rsidRPr="00A1221B" w:rsidRDefault="00A1221B" w:rsidP="00A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221B">
              <w:rPr>
                <w:rFonts w:cs="Arial"/>
                <w:sz w:val="20"/>
                <w:szCs w:val="20"/>
              </w:rPr>
              <w:t>michele.jones@cptc.edu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</w:t>
            </w:r>
            <w:r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BB6CB6" w:rsidTr="009D7089">
        <w:trPr>
          <w:trHeight w:hRule="exact" w:val="4371"/>
        </w:trPr>
        <w:tc>
          <w:tcPr>
            <w:tcW w:w="10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905" w:rsidRPr="00AE5905" w:rsidRDefault="00691792" w:rsidP="00AE5905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4019C">
              <w:rPr>
                <w:rFonts w:cs="Arial"/>
                <w:b/>
                <w:sz w:val="18"/>
                <w:szCs w:val="20"/>
              </w:rPr>
              <w:t>Prerequisites:</w:t>
            </w:r>
            <w:r w:rsidRPr="0014019C">
              <w:rPr>
                <w:rFonts w:cs="Arial"/>
                <w:sz w:val="18"/>
                <w:szCs w:val="20"/>
              </w:rPr>
              <w:t xml:space="preserve"> </w:t>
            </w:r>
          </w:p>
          <w:p w:rsidR="00C93916" w:rsidRPr="00AE5905" w:rsidRDefault="00AE5905" w:rsidP="00AF5ED4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20"/>
              </w:rPr>
              <w:t>Students are required to show proof of h</w:t>
            </w:r>
            <w:r w:rsidR="00C93916">
              <w:rPr>
                <w:sz w:val="18"/>
                <w:szCs w:val="20"/>
              </w:rPr>
              <w:t>igh school diploma or high school equivalency diploma</w:t>
            </w:r>
            <w:r>
              <w:rPr>
                <w:sz w:val="18"/>
                <w:szCs w:val="20"/>
              </w:rPr>
              <w:t xml:space="preserve"> upon entry MAP</w:t>
            </w:r>
            <w:r w:rsidR="00C93916">
              <w:rPr>
                <w:sz w:val="18"/>
                <w:szCs w:val="20"/>
              </w:rPr>
              <w:t>.</w:t>
            </w:r>
          </w:p>
          <w:p w:rsidR="00AE5905" w:rsidRPr="002D4AF2" w:rsidRDefault="00AE5905" w:rsidP="00AF5ED4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All MAP courses, including general education courses, </w:t>
            </w:r>
            <w:r>
              <w:rPr>
                <w:b/>
                <w:sz w:val="18"/>
                <w:szCs w:val="20"/>
                <w:u w:val="single"/>
              </w:rPr>
              <w:t>must be successfully</w:t>
            </w:r>
            <w:r w:rsidR="00286E59">
              <w:rPr>
                <w:b/>
                <w:sz w:val="18"/>
                <w:szCs w:val="20"/>
                <w:u w:val="single"/>
              </w:rPr>
              <w:t xml:space="preserve"> completed before entering the final</w:t>
            </w:r>
            <w:r>
              <w:rPr>
                <w:b/>
                <w:sz w:val="18"/>
                <w:szCs w:val="20"/>
                <w:u w:val="single"/>
              </w:rPr>
              <w:t xml:space="preserve"> quarter.</w:t>
            </w:r>
          </w:p>
          <w:p w:rsidR="002D4AF2" w:rsidRPr="002D4AF2" w:rsidRDefault="002D4AF2" w:rsidP="00AF5ED4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sz w:val="18"/>
                <w:szCs w:val="18"/>
              </w:rPr>
            </w:pPr>
            <w:r w:rsidRPr="002D4AF2">
              <w:rPr>
                <w:sz w:val="18"/>
                <w:szCs w:val="18"/>
              </w:rPr>
              <w:t>Once a student begins in either the day or evening program section, they will be unable to change sections without authorization from an instructor. Changing program sections depends on available space.</w:t>
            </w:r>
          </w:p>
          <w:p w:rsidR="00BD1658" w:rsidRPr="00846147" w:rsidRDefault="008E6532" w:rsidP="00BD1658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sz w:val="18"/>
                <w:szCs w:val="18"/>
              </w:rPr>
            </w:pPr>
            <w:r w:rsidRPr="00846147">
              <w:rPr>
                <w:rFonts w:cs="Arial"/>
                <w:sz w:val="18"/>
                <w:szCs w:val="18"/>
              </w:rPr>
              <w:t>Additional courses included in the Medical Assistant Program consist of the following: CAH 102 Medical Terminology, COLL 102 College Success for All and CAH 105 Computer Applications for Allied Health Professionals.</w:t>
            </w:r>
            <w:r w:rsidR="00BD1658" w:rsidRPr="00846147">
              <w:rPr>
                <w:rFonts w:cs="Arial"/>
                <w:sz w:val="18"/>
                <w:szCs w:val="18"/>
              </w:rPr>
              <w:t xml:space="preserve"> All courses with the MAP prefix, must be passed with a “B” (no B-) or better</w:t>
            </w:r>
            <w:r w:rsidR="00113DA7" w:rsidRPr="00846147">
              <w:rPr>
                <w:rFonts w:cs="Arial"/>
                <w:sz w:val="18"/>
                <w:szCs w:val="18"/>
              </w:rPr>
              <w:t>.</w:t>
            </w:r>
            <w:r w:rsidR="00BD1658" w:rsidRPr="00846147">
              <w:rPr>
                <w:rFonts w:cs="Arial"/>
                <w:sz w:val="18"/>
                <w:szCs w:val="18"/>
              </w:rPr>
              <w:t xml:space="preserve"> No Medical Assistant Program (MAP) course may be taken more than twice. Students must receive a “C” (no C-) or better in all general education and pre-requisite courses to satisfy graduation requirements.</w:t>
            </w:r>
          </w:p>
          <w:p w:rsidR="00AE5905" w:rsidRPr="00BD1658" w:rsidRDefault="008E6532" w:rsidP="00037562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color w:val="FF0000"/>
                <w:sz w:val="20"/>
                <w:szCs w:val="20"/>
              </w:rPr>
            </w:pPr>
            <w:r w:rsidRPr="00BD1658">
              <w:rPr>
                <w:rFonts w:cs="Arial"/>
                <w:sz w:val="18"/>
                <w:szCs w:val="18"/>
              </w:rPr>
              <w:t xml:space="preserve"> </w:t>
            </w:r>
            <w:r w:rsidR="00043EDC" w:rsidRPr="00BD1658">
              <w:rPr>
                <w:color w:val="FF0000"/>
                <w:sz w:val="18"/>
                <w:szCs w:val="20"/>
              </w:rPr>
              <w:t xml:space="preserve">Students must attend a mandatory orientation/advising meeting with an instructor once the student has registered for </w:t>
            </w:r>
            <w:r w:rsidR="006E28C0" w:rsidRPr="00BD1658">
              <w:rPr>
                <w:color w:val="FF0000"/>
                <w:sz w:val="18"/>
                <w:szCs w:val="20"/>
              </w:rPr>
              <w:t>MAP 108</w:t>
            </w:r>
            <w:r w:rsidR="00043EDC" w:rsidRPr="00BD1658">
              <w:rPr>
                <w:color w:val="FF0000"/>
                <w:sz w:val="18"/>
                <w:szCs w:val="20"/>
              </w:rPr>
              <w:t>.</w:t>
            </w:r>
          </w:p>
          <w:p w:rsidR="00AE5905" w:rsidRPr="00AE5905" w:rsidRDefault="00AE5905" w:rsidP="00AF5ED4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20"/>
              </w:rPr>
              <w:t>Before entering the</w:t>
            </w:r>
            <w:r w:rsidR="00043EDC">
              <w:rPr>
                <w:sz w:val="18"/>
                <w:szCs w:val="20"/>
              </w:rPr>
              <w:t xml:space="preserve"> </w:t>
            </w:r>
            <w:r w:rsidR="00286E59">
              <w:rPr>
                <w:sz w:val="18"/>
                <w:szCs w:val="20"/>
              </w:rPr>
              <w:t>final</w:t>
            </w:r>
            <w:r w:rsidR="00043EDC">
              <w:rPr>
                <w:sz w:val="18"/>
                <w:szCs w:val="20"/>
              </w:rPr>
              <w:t xml:space="preserve"> quarter</w:t>
            </w:r>
            <w:r>
              <w:rPr>
                <w:sz w:val="18"/>
                <w:szCs w:val="20"/>
              </w:rPr>
              <w:t xml:space="preserve"> </w:t>
            </w:r>
            <w:r w:rsidR="00043EDC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nvasive</w:t>
            </w:r>
            <w:r w:rsidR="00043EDC">
              <w:rPr>
                <w:sz w:val="18"/>
                <w:szCs w:val="20"/>
              </w:rPr>
              <w:t xml:space="preserve"> Procedures (MAP 210)</w:t>
            </w:r>
            <w:r>
              <w:rPr>
                <w:sz w:val="18"/>
                <w:szCs w:val="20"/>
              </w:rPr>
              <w:t xml:space="preserve"> course, students</w:t>
            </w:r>
            <w:r w:rsidR="00043EDC">
              <w:rPr>
                <w:sz w:val="18"/>
                <w:szCs w:val="20"/>
              </w:rPr>
              <w:t xml:space="preserve"> must show proof of current immunizations or laboratory verification of immune status before they are able to receive entry codes for the </w:t>
            </w:r>
            <w:r w:rsidR="00102DF4">
              <w:rPr>
                <w:sz w:val="18"/>
                <w:szCs w:val="20"/>
              </w:rPr>
              <w:t>final</w:t>
            </w:r>
            <w:r w:rsidR="00043EDC">
              <w:rPr>
                <w:sz w:val="18"/>
                <w:szCs w:val="20"/>
              </w:rPr>
              <w:t xml:space="preserve"> quarter. This includes, but is not limited to, Tetanus/Diphtheria, Hepatitis B, Measles/Mumps/Rubella, Tuberculosis skin testing, Flu, and Varicella, as required by contracts with clinical facilities and CDC recommendations. </w:t>
            </w:r>
          </w:p>
          <w:p w:rsidR="0070336E" w:rsidRPr="00320E66" w:rsidRDefault="00AE5905" w:rsidP="00AF5ED4">
            <w:pPr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sz w:val="18"/>
                <w:szCs w:val="20"/>
              </w:rPr>
            </w:pPr>
            <w:r w:rsidRPr="00320E66">
              <w:rPr>
                <w:sz w:val="18"/>
                <w:szCs w:val="20"/>
              </w:rPr>
              <w:t xml:space="preserve">In order to participate in the externship, </w:t>
            </w:r>
            <w:r w:rsidR="00043EDC" w:rsidRPr="00320E66">
              <w:rPr>
                <w:sz w:val="18"/>
                <w:szCs w:val="20"/>
              </w:rPr>
              <w:t>students</w:t>
            </w:r>
            <w:r w:rsidRPr="00320E66">
              <w:rPr>
                <w:sz w:val="18"/>
                <w:szCs w:val="20"/>
              </w:rPr>
              <w:t xml:space="preserve"> must receive a “No Record on </w:t>
            </w:r>
            <w:r w:rsidR="00043EDC" w:rsidRPr="00320E66">
              <w:rPr>
                <w:sz w:val="18"/>
                <w:szCs w:val="20"/>
              </w:rPr>
              <w:t>File</w:t>
            </w:r>
            <w:r w:rsidRPr="00320E66">
              <w:rPr>
                <w:sz w:val="18"/>
                <w:szCs w:val="20"/>
              </w:rPr>
              <w:t>” report from the Washington State Patrol, related to Crimes Against Persons</w:t>
            </w:r>
            <w:r w:rsidR="00043EDC" w:rsidRPr="00320E66">
              <w:rPr>
                <w:sz w:val="18"/>
                <w:szCs w:val="20"/>
              </w:rPr>
              <w:t xml:space="preserve"> and/or a Criminal Background Check. Students must also meet the requirements for the facility that they are assigned to. These requirements may include, but are not limited to, a drug screening and/or a no-smoking policy. </w:t>
            </w:r>
            <w:r w:rsidR="00320E66" w:rsidRPr="00320E66">
              <w:rPr>
                <w:sz w:val="18"/>
                <w:szCs w:val="20"/>
              </w:rPr>
              <w:t xml:space="preserve"> </w:t>
            </w:r>
            <w:r w:rsidRPr="00320E66">
              <w:rPr>
                <w:sz w:val="18"/>
                <w:szCs w:val="20"/>
              </w:rPr>
              <w:t xml:space="preserve">Each student is required to carry personal health. Medical insurance throughout their </w:t>
            </w:r>
            <w:r w:rsidR="00043EDC" w:rsidRPr="00320E66">
              <w:rPr>
                <w:sz w:val="18"/>
                <w:szCs w:val="20"/>
              </w:rPr>
              <w:t>clinical</w:t>
            </w:r>
            <w:r w:rsidRPr="00320E66">
              <w:rPr>
                <w:sz w:val="18"/>
                <w:szCs w:val="20"/>
              </w:rPr>
              <w:t xml:space="preserve"> rotations. Quarterly based </w:t>
            </w:r>
            <w:r w:rsidR="00043EDC" w:rsidRPr="00320E66">
              <w:rPr>
                <w:sz w:val="18"/>
                <w:szCs w:val="20"/>
              </w:rPr>
              <w:t>insurance</w:t>
            </w:r>
            <w:r w:rsidRPr="00320E66">
              <w:rPr>
                <w:sz w:val="18"/>
                <w:szCs w:val="20"/>
              </w:rPr>
              <w:t xml:space="preserve"> f</w:t>
            </w:r>
            <w:r w:rsidR="00AF5ED4" w:rsidRPr="00320E66">
              <w:rPr>
                <w:sz w:val="18"/>
                <w:szCs w:val="20"/>
              </w:rPr>
              <w:t xml:space="preserve">or students may be purchased.  </w:t>
            </w:r>
            <w:r w:rsidRPr="00320E66">
              <w:rPr>
                <w:sz w:val="18"/>
                <w:szCs w:val="20"/>
              </w:rPr>
              <w:t xml:space="preserve">No student will be allowed at a </w:t>
            </w:r>
            <w:r w:rsidR="00043EDC" w:rsidRPr="00320E66">
              <w:rPr>
                <w:sz w:val="18"/>
                <w:szCs w:val="20"/>
              </w:rPr>
              <w:t>clinical</w:t>
            </w:r>
            <w:r w:rsidRPr="00320E66">
              <w:rPr>
                <w:sz w:val="18"/>
                <w:szCs w:val="20"/>
              </w:rPr>
              <w:t xml:space="preserve"> s</w:t>
            </w:r>
            <w:r w:rsidR="00043EDC" w:rsidRPr="00320E66">
              <w:rPr>
                <w:sz w:val="18"/>
                <w:szCs w:val="20"/>
              </w:rPr>
              <w:t>ite without proof of insurance.</w:t>
            </w:r>
          </w:p>
          <w:p w:rsidR="00162CD0" w:rsidRDefault="00162CD0" w:rsidP="00043EDC">
            <w:pPr>
              <w:spacing w:after="0" w:line="240" w:lineRule="auto"/>
              <w:ind w:left="720"/>
              <w:rPr>
                <w:sz w:val="18"/>
                <w:szCs w:val="20"/>
              </w:rPr>
            </w:pPr>
          </w:p>
          <w:p w:rsidR="00162CD0" w:rsidRDefault="00162CD0" w:rsidP="00043EDC">
            <w:pPr>
              <w:spacing w:after="0" w:line="240" w:lineRule="auto"/>
              <w:ind w:left="720"/>
              <w:rPr>
                <w:sz w:val="18"/>
                <w:szCs w:val="20"/>
              </w:rPr>
            </w:pPr>
          </w:p>
          <w:p w:rsidR="00162CD0" w:rsidRPr="00043EDC" w:rsidRDefault="00162CD0" w:rsidP="00043EDC">
            <w:pPr>
              <w:spacing w:after="0" w:line="240" w:lineRule="auto"/>
              <w:ind w:left="720"/>
              <w:rPr>
                <w:sz w:val="18"/>
                <w:szCs w:val="20"/>
              </w:rPr>
            </w:pPr>
          </w:p>
        </w:tc>
      </w:tr>
      <w:tr w:rsidR="00DB3B34" w:rsidRPr="005428AA" w:rsidTr="00FC3C3F">
        <w:trPr>
          <w:gridAfter w:val="1"/>
          <w:wAfter w:w="12" w:type="dxa"/>
          <w:trHeight w:hRule="exact" w:val="31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B3B34" w:rsidRPr="00EA2E87" w:rsidRDefault="00DB3B34" w:rsidP="00313D00">
            <w:pPr>
              <w:pStyle w:val="Heading2"/>
              <w:rPr>
                <w:i/>
                <w:sz w:val="24"/>
                <w:szCs w:val="24"/>
              </w:rPr>
            </w:pPr>
            <w:r w:rsidRPr="00EA2E87">
              <w:rPr>
                <w:i/>
                <w:sz w:val="24"/>
                <w:szCs w:val="24"/>
              </w:rPr>
              <w:t>Pre-Requisite Courses – must complete first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B3B34" w:rsidRPr="00AF5ED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B3B34" w:rsidRPr="00AF5ED4" w:rsidRDefault="00DB3B34" w:rsidP="00FC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Quarter</w:t>
            </w:r>
            <w:r w:rsidR="00FC3C3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F5ED4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DB3B34" w:rsidRPr="005428AA" w:rsidTr="00DC23E2">
        <w:trPr>
          <w:gridAfter w:val="1"/>
          <w:wAfter w:w="12" w:type="dxa"/>
          <w:trHeight w:hRule="exact" w:val="277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B34" w:rsidRPr="00162CD0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*</w:t>
            </w:r>
            <w:r w:rsidRPr="00162CD0">
              <w:rPr>
                <w:rFonts w:cs="Arial"/>
                <w:b/>
                <w:sz w:val="18"/>
                <w:szCs w:val="18"/>
              </w:rPr>
              <w:t>Must Complete First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BB6CB6" w:rsidRDefault="00DB3B34" w:rsidP="0040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 College Success for All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68"/>
        </w:trPr>
        <w:tc>
          <w:tcPr>
            <w:tcW w:w="7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162CD0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CAH 105</w:t>
            </w:r>
            <w:r w:rsidRPr="0016070C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Computer Applications*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83"/>
        </w:trPr>
        <w:tc>
          <w:tcPr>
            <w:tcW w:w="7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162CD0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CAH 102 Medical Terminology*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6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162CD0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Default="00951156" w:rsidP="00495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108</w:t>
            </w:r>
            <w:r w:rsidR="00DB3B34">
              <w:rPr>
                <w:rFonts w:cs="Arial"/>
                <w:sz w:val="20"/>
                <w:szCs w:val="20"/>
              </w:rPr>
              <w:t xml:space="preserve"> Introduction to Medical Assisting*  </w:t>
            </w:r>
            <w:r w:rsidR="00DB3B34" w:rsidRPr="001851D2">
              <w:rPr>
                <w:rFonts w:cs="Arial"/>
                <w:b/>
                <w:sz w:val="18"/>
                <w:szCs w:val="18"/>
              </w:rPr>
              <w:t>(offered Summer (daytime)/Winter</w:t>
            </w:r>
            <w:r w:rsidR="00DB3B34" w:rsidRPr="00BE2A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3B34" w:rsidRPr="001851D2">
              <w:rPr>
                <w:rFonts w:cs="Arial"/>
                <w:b/>
                <w:sz w:val="18"/>
                <w:szCs w:val="18"/>
              </w:rPr>
              <w:t xml:space="preserve">(evening) </w:t>
            </w:r>
            <w:r w:rsidR="00DB3B34" w:rsidRPr="00BE2A96">
              <w:rPr>
                <w:rFonts w:cs="Arial"/>
                <w:b/>
                <w:sz w:val="20"/>
                <w:szCs w:val="20"/>
              </w:rPr>
              <w:t>only)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B34" w:rsidRPr="00DB3B34" w:rsidRDefault="00951156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3B34" w:rsidRPr="005428AA" w:rsidTr="00FC3C3F">
        <w:trPr>
          <w:gridAfter w:val="1"/>
          <w:wAfter w:w="12" w:type="dxa"/>
          <w:trHeight w:hRule="exact" w:val="65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B3B34" w:rsidRPr="00EA2E87" w:rsidRDefault="00DB3B34" w:rsidP="00313D00">
            <w:pPr>
              <w:pStyle w:val="Heading2"/>
              <w:rPr>
                <w:i/>
                <w:sz w:val="24"/>
                <w:szCs w:val="24"/>
              </w:rPr>
            </w:pPr>
            <w:r w:rsidRPr="00EA2E87">
              <w:rPr>
                <w:i/>
                <w:sz w:val="24"/>
                <w:szCs w:val="24"/>
              </w:rPr>
              <w:t>Required General Education Courses</w:t>
            </w:r>
          </w:p>
          <w:p w:rsidR="00DB3B34" w:rsidRDefault="00DB3B3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62CD0">
              <w:rPr>
                <w:sz w:val="20"/>
                <w:szCs w:val="20"/>
              </w:rPr>
              <w:t xml:space="preserve">eneral education courses, </w:t>
            </w:r>
            <w:r w:rsidRPr="00162CD0">
              <w:rPr>
                <w:b/>
                <w:sz w:val="20"/>
                <w:szCs w:val="20"/>
                <w:u w:val="single"/>
              </w:rPr>
              <w:t xml:space="preserve">must be successfully completed before entering the </w:t>
            </w:r>
            <w:r>
              <w:rPr>
                <w:b/>
                <w:sz w:val="20"/>
                <w:szCs w:val="20"/>
                <w:u w:val="single"/>
              </w:rPr>
              <w:t>final MAP</w:t>
            </w:r>
            <w:r w:rsidRPr="00162CD0">
              <w:rPr>
                <w:b/>
                <w:sz w:val="20"/>
                <w:szCs w:val="20"/>
                <w:u w:val="single"/>
              </w:rPr>
              <w:t xml:space="preserve"> quarter</w:t>
            </w:r>
          </w:p>
          <w:p w:rsidR="00DB3B34" w:rsidRPr="00583FDB" w:rsidRDefault="00DB3B3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B3B34" w:rsidRPr="00AF5ED4" w:rsidRDefault="00DB3B3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3B34" w:rsidRPr="00AF5ED4" w:rsidRDefault="00DB3B3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Quarter</w:t>
            </w:r>
          </w:p>
          <w:p w:rsidR="00DB3B34" w:rsidRPr="00AF5ED4" w:rsidRDefault="00DB3B3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78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DB3B34" w:rsidRPr="00AF5ED4" w:rsidRDefault="00DB3B34" w:rsidP="00AF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3B34" w:rsidRPr="00BB6CB6" w:rsidRDefault="00DB3B34" w:rsidP="00A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53"/>
        </w:trPr>
        <w:tc>
          <w:tcPr>
            <w:tcW w:w="7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3B34" w:rsidRPr="00BB6CB6" w:rsidRDefault="00DB3B34" w:rsidP="00162CD0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3B34" w:rsidRPr="00BB6CB6" w:rsidRDefault="00DB3B34" w:rsidP="00AF201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</w:t>
            </w:r>
            <w:r w:rsidRPr="00982819">
              <w:rPr>
                <w:rFonts w:cs="Arial"/>
                <w:sz w:val="20"/>
                <w:szCs w:val="18"/>
              </w:rPr>
              <w:t>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Introduction to Sociology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5428AA" w:rsidTr="00DB3B34">
        <w:trPr>
          <w:gridAfter w:val="1"/>
          <w:wAfter w:w="12" w:type="dxa"/>
          <w:trHeight w:hRule="exact" w:val="247"/>
        </w:trPr>
        <w:tc>
          <w:tcPr>
            <w:tcW w:w="7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3B34" w:rsidRPr="00317E51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3B34" w:rsidRPr="006D7CFC" w:rsidRDefault="00DB3B34" w:rsidP="00AF2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14019C">
              <w:rPr>
                <w:rFonts w:cs="Arial"/>
                <w:sz w:val="20"/>
                <w:szCs w:val="18"/>
              </w:rPr>
              <w:t>MAT</w:t>
            </w:r>
            <w:r>
              <w:rPr>
                <w:rFonts w:cs="Arial"/>
                <w:sz w:val="20"/>
                <w:szCs w:val="18"/>
              </w:rPr>
              <w:t xml:space="preserve"> 108 Math for Health Occupations</w:t>
            </w:r>
            <w:r w:rsidRPr="0014019C">
              <w:rPr>
                <w:rFonts w:cs="Arial"/>
                <w:sz w:val="20"/>
                <w:szCs w:val="18"/>
              </w:rPr>
              <w:t xml:space="preserve"> </w:t>
            </w:r>
            <w:r w:rsidRPr="0014019C">
              <w:rPr>
                <w:rFonts w:cs="Arial"/>
                <w:b/>
                <w:i/>
                <w:sz w:val="20"/>
                <w:szCs w:val="18"/>
              </w:rPr>
              <w:t>(</w:t>
            </w:r>
            <w:r w:rsidR="006D7CFC">
              <w:rPr>
                <w:rFonts w:cs="Arial"/>
                <w:b/>
                <w:i/>
                <w:sz w:val="20"/>
                <w:szCs w:val="18"/>
              </w:rPr>
              <w:t xml:space="preserve">pre-req </w:t>
            </w:r>
            <w:r>
              <w:rPr>
                <w:rFonts w:cs="Arial"/>
                <w:b/>
                <w:i/>
                <w:sz w:val="20"/>
                <w:szCs w:val="18"/>
              </w:rPr>
              <w:t>MAT 094</w:t>
            </w:r>
            <w:r w:rsidRPr="0014019C">
              <w:rPr>
                <w:rFonts w:cs="Arial"/>
                <w:b/>
                <w:i/>
                <w:sz w:val="20"/>
                <w:szCs w:val="18"/>
              </w:rPr>
              <w:t xml:space="preserve"> or </w:t>
            </w:r>
            <w:r>
              <w:rPr>
                <w:rFonts w:cs="Arial"/>
                <w:b/>
                <w:i/>
                <w:sz w:val="20"/>
                <w:szCs w:val="18"/>
              </w:rPr>
              <w:t>equivalent</w:t>
            </w:r>
            <w:r w:rsidRPr="0014019C">
              <w:rPr>
                <w:rFonts w:cs="Arial"/>
                <w:b/>
                <w:i/>
                <w:sz w:val="20"/>
                <w:szCs w:val="18"/>
              </w:rPr>
              <w:t>)</w:t>
            </w:r>
            <w:r w:rsidR="006D7CFC">
              <w:rPr>
                <w:rFonts w:cs="Arial"/>
                <w:b/>
                <w:i/>
                <w:sz w:val="20"/>
                <w:szCs w:val="18"/>
              </w:rPr>
              <w:t xml:space="preserve"> </w:t>
            </w:r>
            <w:r w:rsidR="006D7CFC">
              <w:rPr>
                <w:rFonts w:cs="Arial"/>
                <w:i/>
                <w:sz w:val="20"/>
                <w:szCs w:val="18"/>
              </w:rPr>
              <w:t>or higher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2CD0" w:rsidRPr="00BB6CB6" w:rsidTr="00320E66">
        <w:trPr>
          <w:trHeight w:hRule="exact" w:val="268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CD0" w:rsidRDefault="00162CD0" w:rsidP="00D6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*</w:t>
            </w:r>
            <w:r w:rsidR="00D60DD1">
              <w:rPr>
                <w:rFonts w:cs="Arial"/>
                <w:b/>
                <w:bCs/>
                <w:i/>
                <w:sz w:val="20"/>
                <w:szCs w:val="18"/>
              </w:rPr>
              <w:t>Final quarter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will be during the day </w:t>
            </w:r>
            <w:r>
              <w:rPr>
                <w:rFonts w:cs="Arial"/>
                <w:b/>
                <w:bCs/>
                <w:i/>
                <w:sz w:val="20"/>
                <w:szCs w:val="18"/>
                <w:u w:val="single"/>
              </w:rPr>
              <w:t>even for evening students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; medical assistants do not usually work evening shifts.</w:t>
            </w:r>
          </w:p>
        </w:tc>
      </w:tr>
      <w:tr w:rsidR="00DB3B34" w:rsidRPr="00BB6CB6" w:rsidTr="00DC23E2">
        <w:trPr>
          <w:gridAfter w:val="1"/>
          <w:wAfter w:w="12" w:type="dxa"/>
          <w:trHeight w:hRule="exact" w:val="31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B3B34" w:rsidRPr="00EA2E87" w:rsidRDefault="00DB3B34" w:rsidP="00313D00">
            <w:pPr>
              <w:pStyle w:val="Heading2"/>
              <w:rPr>
                <w:sz w:val="20"/>
              </w:rPr>
            </w:pPr>
            <w:r w:rsidRPr="00EA2E87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B3B34" w:rsidRPr="00AF5ED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3B34" w:rsidRPr="00AF5ED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AF5ED4">
              <w:rPr>
                <w:rFonts w:cs="Arial"/>
                <w:b/>
                <w:sz w:val="16"/>
                <w:szCs w:val="16"/>
              </w:rPr>
              <w:t>Quarter Taken</w:t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95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565F19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565F19">
              <w:rPr>
                <w:rFonts w:cs="Arial"/>
                <w:i/>
                <w:sz w:val="18"/>
                <w:szCs w:val="18"/>
              </w:rPr>
              <w:t>This Qtr. Starts</w:t>
            </w:r>
          </w:p>
          <w:p w:rsidR="00DB3B34" w:rsidRPr="004D1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D1CB6">
              <w:rPr>
                <w:rFonts w:cs="Arial"/>
                <w:b/>
                <w:sz w:val="18"/>
                <w:szCs w:val="18"/>
              </w:rPr>
              <w:t>Fall-Day</w:t>
            </w:r>
          </w:p>
          <w:p w:rsidR="00DB3B34" w:rsidRPr="004D1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  <w:p w:rsidR="00DB3B34" w:rsidRPr="004D1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D1CB6">
              <w:rPr>
                <w:rFonts w:cs="Arial"/>
                <w:b/>
                <w:sz w:val="18"/>
                <w:szCs w:val="18"/>
              </w:rPr>
              <w:t>Spring-Eve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182 Patient Reception &amp; Legal Components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87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286CA2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184 Medical Records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C23E2">
        <w:trPr>
          <w:gridAfter w:val="1"/>
          <w:wAfter w:w="12" w:type="dxa"/>
          <w:trHeight w:hRule="exact" w:val="287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286CA2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121 Body Systems Theory 101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92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286CA2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Pr="00286CA2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MAP 124 Body Systems Applications 101</w:t>
            </w:r>
          </w:p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0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B3B34" w:rsidRPr="00BB6CB6" w:rsidTr="00DB3B34">
        <w:trPr>
          <w:gridAfter w:val="1"/>
          <w:wAfter w:w="12" w:type="dxa"/>
          <w:trHeight w:hRule="exact" w:val="292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CA45C7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Pr="00BB6CB6" w:rsidRDefault="00DB3B34" w:rsidP="0095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17</w:t>
            </w:r>
            <w:r w:rsidR="00951156">
              <w:rPr>
                <w:rFonts w:cs="Arial"/>
                <w:sz w:val="20"/>
                <w:szCs w:val="20"/>
              </w:rPr>
              <w:t xml:space="preserve">8 </w:t>
            </w:r>
            <w:r>
              <w:rPr>
                <w:rFonts w:cs="Arial"/>
                <w:sz w:val="20"/>
                <w:szCs w:val="20"/>
              </w:rPr>
              <w:t>Health Insurance</w:t>
            </w:r>
            <w:r w:rsidR="00951156">
              <w:rPr>
                <w:rFonts w:cs="Arial"/>
                <w:sz w:val="20"/>
                <w:szCs w:val="20"/>
              </w:rPr>
              <w:t xml:space="preserve"> &amp; Coding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3B34" w:rsidRPr="00DB3B34" w:rsidRDefault="00951156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92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Pr="00BB6CB6" w:rsidRDefault="00951156" w:rsidP="0095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18</w:t>
            </w:r>
            <w:r w:rsidR="00DB3B34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Financial Practices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92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147 Body Systems Theory 102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75"/>
        </w:trPr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B34" w:rsidRDefault="00DB3B34" w:rsidP="0039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146 Body Systems Applications 102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75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95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17</w:t>
            </w:r>
            <w:r w:rsidR="00951156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51156">
              <w:rPr>
                <w:rFonts w:cs="Arial"/>
                <w:sz w:val="20"/>
                <w:szCs w:val="20"/>
              </w:rPr>
              <w:t>Computers for the Healthcare Setting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951156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3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166 Body Systems Theory 103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75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164 Body Systems Applications 103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B3B34" w:rsidRPr="00DB3B34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DB3B34">
        <w:trPr>
          <w:gridAfter w:val="1"/>
          <w:wAfter w:w="12" w:type="dxa"/>
          <w:trHeight w:hRule="exact" w:val="230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B34" w:rsidRPr="00BB6CB6" w:rsidRDefault="00DB3B34" w:rsidP="0064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209 Externship Preparation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78AE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3</w:t>
            </w:r>
          </w:p>
          <w:p w:rsidR="005B78AE" w:rsidRPr="005B78AE" w:rsidRDefault="005B78AE" w:rsidP="005B78AE">
            <w:pPr>
              <w:rPr>
                <w:rFonts w:cs="Arial"/>
                <w:sz w:val="20"/>
                <w:szCs w:val="20"/>
              </w:rPr>
            </w:pPr>
          </w:p>
          <w:p w:rsidR="005B78AE" w:rsidRPr="005B78AE" w:rsidRDefault="005B78AE" w:rsidP="005B78AE">
            <w:pPr>
              <w:rPr>
                <w:rFonts w:cs="Arial"/>
                <w:sz w:val="20"/>
                <w:szCs w:val="20"/>
              </w:rPr>
            </w:pPr>
          </w:p>
          <w:p w:rsidR="00DB3B34" w:rsidRPr="005B78AE" w:rsidRDefault="00DB3B34" w:rsidP="005B78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7B0" w:rsidRPr="00BB6CB6" w:rsidTr="006F2AA7">
        <w:trPr>
          <w:trHeight w:hRule="exact" w:val="314"/>
        </w:trPr>
        <w:tc>
          <w:tcPr>
            <w:tcW w:w="10722" w:type="dxa"/>
            <w:gridSpan w:val="6"/>
            <w:vAlign w:val="center"/>
          </w:tcPr>
          <w:p w:rsidR="008847B0" w:rsidRPr="00BB6CB6" w:rsidRDefault="008847B0" w:rsidP="0016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lastRenderedPageBreak/>
              <w:t>Continued from page 1</w:t>
            </w:r>
          </w:p>
        </w:tc>
      </w:tr>
    </w:tbl>
    <w:p w:rsidR="00F938AB" w:rsidRPr="00F938AB" w:rsidRDefault="00F938AB" w:rsidP="00F938AB">
      <w:pPr>
        <w:spacing w:after="0"/>
        <w:rPr>
          <w:vanish/>
        </w:rPr>
      </w:pPr>
    </w:p>
    <w:p w:rsidR="0031424C" w:rsidRPr="0031424C" w:rsidRDefault="0031424C" w:rsidP="0031424C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0705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913"/>
        <w:gridCol w:w="720"/>
        <w:gridCol w:w="1165"/>
      </w:tblGrid>
      <w:tr w:rsidR="00DB3B34" w:rsidRPr="00BB6CB6" w:rsidTr="009C7E0C">
        <w:trPr>
          <w:trHeight w:hRule="exact" w:val="25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162CD0">
              <w:rPr>
                <w:rFonts w:cs="Arial"/>
                <w:b/>
                <w:sz w:val="18"/>
                <w:szCs w:val="18"/>
              </w:rPr>
              <w:t xml:space="preserve">ay </w:t>
            </w:r>
          </w:p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2CD0">
              <w:rPr>
                <w:rFonts w:cs="Arial"/>
                <w:b/>
                <w:sz w:val="18"/>
                <w:szCs w:val="18"/>
              </w:rPr>
              <w:t>Schedule only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212 Externship Preparation 2</w:t>
            </w:r>
          </w:p>
        </w:tc>
        <w:tc>
          <w:tcPr>
            <w:tcW w:w="720" w:type="dxa"/>
            <w:vAlign w:val="center"/>
          </w:tcPr>
          <w:p w:rsidR="00DB3B34" w:rsidRP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9C7E0C">
        <w:trPr>
          <w:trHeight w:hRule="exact" w:val="286"/>
        </w:trPr>
        <w:tc>
          <w:tcPr>
            <w:tcW w:w="9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</w:tcBorders>
            <w:vAlign w:val="center"/>
          </w:tcPr>
          <w:p w:rsid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215 Externship**</w:t>
            </w:r>
          </w:p>
        </w:tc>
        <w:tc>
          <w:tcPr>
            <w:tcW w:w="720" w:type="dxa"/>
            <w:vAlign w:val="center"/>
          </w:tcPr>
          <w:p w:rsidR="00DB3B34" w:rsidRP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righ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3B34" w:rsidRPr="00BB6CB6" w:rsidTr="009C7E0C">
        <w:trPr>
          <w:trHeight w:hRule="exact" w:val="331"/>
        </w:trPr>
        <w:tc>
          <w:tcPr>
            <w:tcW w:w="9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13" w:type="dxa"/>
            <w:tcBorders>
              <w:top w:val="nil"/>
              <w:left w:val="single" w:sz="4" w:space="0" w:color="auto"/>
            </w:tcBorders>
            <w:vAlign w:val="center"/>
          </w:tcPr>
          <w:p w:rsid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MAP 222 Community Employment Opportunities &amp; Locations**</w:t>
            </w:r>
          </w:p>
        </w:tc>
        <w:tc>
          <w:tcPr>
            <w:tcW w:w="720" w:type="dxa"/>
            <w:vAlign w:val="center"/>
          </w:tcPr>
          <w:p w:rsidR="00DB3B34" w:rsidRPr="00DB3B34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right w:val="single" w:sz="4" w:space="0" w:color="auto"/>
            </w:tcBorders>
            <w:vAlign w:val="center"/>
          </w:tcPr>
          <w:p w:rsidR="00DB3B34" w:rsidRPr="00BB6CB6" w:rsidRDefault="00DB3B34" w:rsidP="00C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72D08" w:rsidRPr="00C72D08" w:rsidRDefault="00C72D08" w:rsidP="00C72D08">
      <w:pPr>
        <w:spacing w:after="0"/>
        <w:rPr>
          <w:vanish/>
        </w:rPr>
      </w:pPr>
    </w:p>
    <w:p w:rsidR="00C72D08" w:rsidRPr="00C72D08" w:rsidRDefault="00C72D08" w:rsidP="00C72D08">
      <w:pPr>
        <w:spacing w:after="0"/>
        <w:rPr>
          <w:vanish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2"/>
        <w:gridCol w:w="6"/>
        <w:gridCol w:w="718"/>
        <w:gridCol w:w="20"/>
        <w:gridCol w:w="1154"/>
      </w:tblGrid>
      <w:tr w:rsidR="00221F59" w:rsidRPr="005C162B" w:rsidTr="00FC3C3F">
        <w:trPr>
          <w:trHeight w:hRule="exact" w:val="397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F59" w:rsidRPr="00221F59" w:rsidRDefault="00221F59" w:rsidP="00221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</w:rPr>
            </w:pPr>
            <w:r w:rsidRPr="00221F59">
              <w:rPr>
                <w:rFonts w:cs="Arial"/>
                <w:b/>
                <w:i/>
              </w:rPr>
              <w:t>Required General Education Courses Total Credits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F59" w:rsidRPr="00221F59" w:rsidRDefault="00221F59" w:rsidP="00221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 w:rsidRPr="00221F59">
              <w:rPr>
                <w:rFonts w:cs="Arial"/>
                <w:b/>
                <w:i/>
              </w:rPr>
              <w:t>15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F59" w:rsidRPr="00D57E1A" w:rsidRDefault="00221F59" w:rsidP="00221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14019C" w:rsidRPr="005C162B" w:rsidTr="00FC3C3F">
        <w:trPr>
          <w:trHeight w:hRule="exact" w:val="397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C" w:rsidRPr="00221F59" w:rsidRDefault="00D524B6" w:rsidP="0004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</w:rPr>
            </w:pPr>
            <w:r w:rsidRPr="00221F59">
              <w:rPr>
                <w:rFonts w:cs="Arial"/>
                <w:b/>
                <w:i/>
              </w:rPr>
              <w:t xml:space="preserve">Medical </w:t>
            </w:r>
            <w:r w:rsidR="00043EDC" w:rsidRPr="00221F59">
              <w:rPr>
                <w:rFonts w:cs="Arial"/>
                <w:b/>
                <w:i/>
              </w:rPr>
              <w:t>Assistant</w:t>
            </w:r>
            <w:r w:rsidR="0014019C" w:rsidRPr="00221F59">
              <w:rPr>
                <w:rFonts w:cs="Arial"/>
                <w:b/>
                <w:i/>
              </w:rPr>
              <w:t xml:space="preserve"> Technical Program Courses Credits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19C" w:rsidRPr="00221F59" w:rsidRDefault="002B58BE" w:rsidP="0018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 w:rsidRPr="00221F59">
              <w:rPr>
                <w:rFonts w:cs="Arial"/>
                <w:b/>
                <w:i/>
              </w:rPr>
              <w:t>7</w:t>
            </w:r>
            <w:r w:rsidR="00181AF6">
              <w:rPr>
                <w:rFonts w:cs="Arial"/>
                <w:b/>
                <w:i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9C" w:rsidRPr="00D57E1A" w:rsidRDefault="0014019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9E027A" w:rsidRPr="005C162B" w:rsidTr="00FC3C3F">
        <w:trPr>
          <w:trHeight w:hRule="exact" w:val="397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221F59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221F59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221F59" w:rsidRDefault="00197B95" w:rsidP="00181AF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9</w:t>
            </w:r>
            <w:r w:rsidR="00181AF6">
              <w:rPr>
                <w:rFonts w:cs="Arial"/>
                <w:b/>
                <w:bCs/>
                <w:i/>
              </w:rPr>
              <w:t>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EA2588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8F6498" w:rsidRPr="00BB6CB6" w:rsidTr="00FC3C3F">
        <w:trPr>
          <w:trHeight w:hRule="exact" w:val="64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CBD" w:rsidRPr="003D3CBD" w:rsidRDefault="003D3CBD" w:rsidP="003D3CBD">
            <w:pPr>
              <w:rPr>
                <w:rFonts w:eastAsia="Calibri"/>
                <w:b/>
              </w:rPr>
            </w:pPr>
            <w:r w:rsidRPr="003D3CBD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A871AE" w:rsidRPr="00EA2E87" w:rsidRDefault="00A871AE" w:rsidP="003D3CBD">
            <w:pPr>
              <w:pStyle w:val="Heading3"/>
            </w:pPr>
          </w:p>
        </w:tc>
      </w:tr>
      <w:tr w:rsidR="008847B0" w:rsidRPr="00FD2DFE" w:rsidTr="008847B0">
        <w:trPr>
          <w:trHeight w:hRule="exact" w:val="259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7B0" w:rsidRPr="00FD2DFE" w:rsidRDefault="008847B0" w:rsidP="008847B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8F6498" w:rsidRPr="00FD2DFE" w:rsidTr="00FC3C3F">
        <w:trPr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3D3CBD" w:rsidP="009531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="008F6498" w:rsidRPr="00FD2DFE">
              <w:rPr>
                <w:rFonts w:cs="Arial"/>
                <w:sz w:val="18"/>
                <w:szCs w:val="18"/>
              </w:rPr>
              <w:t xml:space="preserve">  </w:t>
            </w:r>
            <w:r w:rsidR="00953142"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DB3B34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F6498" w:rsidRPr="00FD2DFE" w:rsidTr="00FC3C3F">
        <w:trPr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8F6498" w:rsidP="001851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D3CBD">
              <w:rPr>
                <w:rFonts w:cs="Arial"/>
                <w:sz w:val="18"/>
                <w:szCs w:val="18"/>
              </w:rPr>
              <w:t>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108)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DB3B34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F6498" w:rsidRPr="00FD2DFE" w:rsidTr="00FC3C3F">
        <w:trPr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1851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</w:t>
            </w:r>
            <w:r w:rsidR="001851D2">
              <w:rPr>
                <w:rFonts w:cs="Arial"/>
                <w:b/>
                <w:i/>
                <w:sz w:val="18"/>
                <w:szCs w:val="18"/>
              </w:rPr>
              <w:t>H&amp; 107</w:t>
            </w:r>
            <w:r>
              <w:rPr>
                <w:rFonts w:cs="Arial"/>
                <w:b/>
                <w:i/>
                <w:sz w:val="18"/>
                <w:szCs w:val="18"/>
              </w:rPr>
              <w:t>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DB3B34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847B0" w:rsidRPr="00FD2DFE" w:rsidTr="008847B0">
        <w:trPr>
          <w:trHeight w:hRule="exact" w:val="259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7B0" w:rsidRPr="00FD2DFE" w:rsidRDefault="008847B0" w:rsidP="008847B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8F6498" w:rsidRPr="00FD2DFE" w:rsidTr="00FC3C3F">
        <w:trPr>
          <w:trHeight w:hRule="exact" w:val="259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8F6498" w:rsidP="002F3C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 w:rsidR="00570B35"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498" w:rsidRPr="00DB3B34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F6498" w:rsidRPr="00FD2DFE" w:rsidTr="00FC3C3F">
        <w:trPr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2F3C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DB3B34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3B3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C3C3F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FC3C3F" w:rsidRPr="00FC3C3F" w:rsidRDefault="00FC3C3F" w:rsidP="00FC3C3F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C3C3F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FC3C3F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RPr="0017078E" w:rsidTr="00FC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3F" w:rsidRPr="0017078E" w:rsidRDefault="00FC3C3F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3C3F" w:rsidTr="005B7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87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F" w:rsidRDefault="00FC3C3F" w:rsidP="005B78A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6" w:name="_GoBack"/>
            <w:bookmarkEnd w:id="6"/>
          </w:p>
        </w:tc>
      </w:tr>
    </w:tbl>
    <w:p w:rsidR="00BB3BD9" w:rsidRPr="00BB3BD9" w:rsidRDefault="00BB3BD9" w:rsidP="00BB3BD9">
      <w:pPr>
        <w:rPr>
          <w:rFonts w:ascii="Arial" w:eastAsia="Calibri" w:hAnsi="Arial" w:cs="Arial"/>
          <w:b/>
          <w:i/>
          <w:sz w:val="18"/>
          <w:szCs w:val="18"/>
        </w:rPr>
      </w:pPr>
      <w:r w:rsidRPr="00BB3BD9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p w:rsidR="00A871AE" w:rsidRDefault="00A871AE" w:rsidP="007E77A6">
      <w:pPr>
        <w:pStyle w:val="NoSpacing"/>
      </w:pPr>
    </w:p>
    <w:sectPr w:rsidR="00A871AE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2B" w:rsidRDefault="001F012B" w:rsidP="007E77A6">
      <w:pPr>
        <w:spacing w:after="0" w:line="240" w:lineRule="auto"/>
      </w:pPr>
      <w:r>
        <w:separator/>
      </w:r>
    </w:p>
  </w:endnote>
  <w:endnote w:type="continuationSeparator" w:id="0">
    <w:p w:rsidR="001F012B" w:rsidRDefault="001F012B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9" w:rsidRPr="00B028A8" w:rsidRDefault="009D7089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9D7089" w:rsidRDefault="009D7089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5B78AE">
      <w:rPr>
        <w:i/>
        <w:sz w:val="18"/>
        <w:szCs w:val="18"/>
      </w:rPr>
      <w:t>2020-2021</w:t>
    </w:r>
    <w:r>
      <w:rPr>
        <w:sz w:val="18"/>
        <w:szCs w:val="18"/>
      </w:rPr>
      <w:t xml:space="preserve">  Revised </w:t>
    </w:r>
    <w:r w:rsidR="005B78AE">
      <w:rPr>
        <w:sz w:val="18"/>
        <w:szCs w:val="18"/>
      </w:rPr>
      <w:t>6/2/20 CJM</w:t>
    </w:r>
  </w:p>
  <w:p w:rsidR="009D7089" w:rsidRPr="007E77A6" w:rsidRDefault="009D7089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2B" w:rsidRDefault="001F012B" w:rsidP="007E77A6">
      <w:pPr>
        <w:spacing w:after="0" w:line="240" w:lineRule="auto"/>
      </w:pPr>
      <w:r>
        <w:separator/>
      </w:r>
    </w:p>
  </w:footnote>
  <w:footnote w:type="continuationSeparator" w:id="0">
    <w:p w:rsidR="001F012B" w:rsidRDefault="001F012B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9" w:rsidRDefault="009D708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B78A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B78A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D7089" w:rsidRDefault="009D7089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9D7089" w:rsidRPr="00A13D55" w:rsidRDefault="009D7089" w:rsidP="00185AF9">
    <w:pPr>
      <w:pStyle w:val="Header"/>
      <w:spacing w:after="0" w:line="240" w:lineRule="auto"/>
      <w:rPr>
        <w:sz w:val="24"/>
        <w:szCs w:val="24"/>
      </w:rPr>
    </w:pPr>
    <w:r w:rsidRPr="00A13D55">
      <w:rPr>
        <w:sz w:val="24"/>
        <w:szCs w:val="24"/>
      </w:rPr>
      <w:t xml:space="preserve">EDUCATION PLAN - </w:t>
    </w:r>
    <w:r w:rsidRPr="00A13D55">
      <w:rPr>
        <w:rFonts w:cs="Arial"/>
        <w:i/>
        <w:sz w:val="24"/>
        <w:szCs w:val="24"/>
      </w:rPr>
      <w:t xml:space="preserve">CATALOG YEAR </w:t>
    </w:r>
    <w:r w:rsidR="005B78AE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C3"/>
    <w:multiLevelType w:val="hybridMultilevel"/>
    <w:tmpl w:val="9AD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6ACD"/>
    <w:rsid w:val="00006BCD"/>
    <w:rsid w:val="00010400"/>
    <w:rsid w:val="00015ED3"/>
    <w:rsid w:val="00020917"/>
    <w:rsid w:val="00020AD2"/>
    <w:rsid w:val="00021B40"/>
    <w:rsid w:val="00024EF2"/>
    <w:rsid w:val="00031C07"/>
    <w:rsid w:val="00032D93"/>
    <w:rsid w:val="00043EDC"/>
    <w:rsid w:val="00057E2D"/>
    <w:rsid w:val="00060F14"/>
    <w:rsid w:val="000634C4"/>
    <w:rsid w:val="00066752"/>
    <w:rsid w:val="00077115"/>
    <w:rsid w:val="00086025"/>
    <w:rsid w:val="00087FF4"/>
    <w:rsid w:val="000A2953"/>
    <w:rsid w:val="000B01D6"/>
    <w:rsid w:val="000C30BA"/>
    <w:rsid w:val="000D0012"/>
    <w:rsid w:val="000E2799"/>
    <w:rsid w:val="000E3A1F"/>
    <w:rsid w:val="000E420F"/>
    <w:rsid w:val="000F6A4E"/>
    <w:rsid w:val="000F6D64"/>
    <w:rsid w:val="000F7219"/>
    <w:rsid w:val="00102DF4"/>
    <w:rsid w:val="00112C64"/>
    <w:rsid w:val="00113DA7"/>
    <w:rsid w:val="00114011"/>
    <w:rsid w:val="00121F4B"/>
    <w:rsid w:val="00123603"/>
    <w:rsid w:val="00133808"/>
    <w:rsid w:val="0014019C"/>
    <w:rsid w:val="001438DA"/>
    <w:rsid w:val="00154BFB"/>
    <w:rsid w:val="00156295"/>
    <w:rsid w:val="0016070C"/>
    <w:rsid w:val="00162CD0"/>
    <w:rsid w:val="00176FFA"/>
    <w:rsid w:val="00181AF6"/>
    <w:rsid w:val="0018308D"/>
    <w:rsid w:val="001844CD"/>
    <w:rsid w:val="001849F8"/>
    <w:rsid w:val="001851D2"/>
    <w:rsid w:val="00185AF9"/>
    <w:rsid w:val="00197B95"/>
    <w:rsid w:val="001A49D2"/>
    <w:rsid w:val="001A688A"/>
    <w:rsid w:val="001B6A15"/>
    <w:rsid w:val="001B6D5A"/>
    <w:rsid w:val="001C3A4B"/>
    <w:rsid w:val="001C6B34"/>
    <w:rsid w:val="001D0EF5"/>
    <w:rsid w:val="001D56D5"/>
    <w:rsid w:val="001E11A3"/>
    <w:rsid w:val="001F012B"/>
    <w:rsid w:val="001F0259"/>
    <w:rsid w:val="001F5A1D"/>
    <w:rsid w:val="00201349"/>
    <w:rsid w:val="002018CA"/>
    <w:rsid w:val="00206EDA"/>
    <w:rsid w:val="00207051"/>
    <w:rsid w:val="002100C7"/>
    <w:rsid w:val="00210105"/>
    <w:rsid w:val="002114A4"/>
    <w:rsid w:val="002171BF"/>
    <w:rsid w:val="00221F59"/>
    <w:rsid w:val="00224CE0"/>
    <w:rsid w:val="002317EC"/>
    <w:rsid w:val="00240685"/>
    <w:rsid w:val="00244FBD"/>
    <w:rsid w:val="00246E94"/>
    <w:rsid w:val="002515D8"/>
    <w:rsid w:val="0025186C"/>
    <w:rsid w:val="00252863"/>
    <w:rsid w:val="00252FC1"/>
    <w:rsid w:val="00256210"/>
    <w:rsid w:val="002579A8"/>
    <w:rsid w:val="00264AE0"/>
    <w:rsid w:val="00267312"/>
    <w:rsid w:val="002823FB"/>
    <w:rsid w:val="002831F9"/>
    <w:rsid w:val="00285705"/>
    <w:rsid w:val="00286CA2"/>
    <w:rsid w:val="00286E59"/>
    <w:rsid w:val="002A17B2"/>
    <w:rsid w:val="002B58BE"/>
    <w:rsid w:val="002B7334"/>
    <w:rsid w:val="002C144E"/>
    <w:rsid w:val="002C2693"/>
    <w:rsid w:val="002C468E"/>
    <w:rsid w:val="002D4AF2"/>
    <w:rsid w:val="002E59A0"/>
    <w:rsid w:val="002F3C19"/>
    <w:rsid w:val="00313D00"/>
    <w:rsid w:val="0031424C"/>
    <w:rsid w:val="00317E51"/>
    <w:rsid w:val="00320773"/>
    <w:rsid w:val="00320C31"/>
    <w:rsid w:val="00320E66"/>
    <w:rsid w:val="00325624"/>
    <w:rsid w:val="00337835"/>
    <w:rsid w:val="00346322"/>
    <w:rsid w:val="00352384"/>
    <w:rsid w:val="003550DF"/>
    <w:rsid w:val="00373AB8"/>
    <w:rsid w:val="00390BB0"/>
    <w:rsid w:val="003A3CAC"/>
    <w:rsid w:val="003C533A"/>
    <w:rsid w:val="003D3274"/>
    <w:rsid w:val="003D3CBD"/>
    <w:rsid w:val="003D475A"/>
    <w:rsid w:val="003F5988"/>
    <w:rsid w:val="00406BE1"/>
    <w:rsid w:val="0040714D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95FCE"/>
    <w:rsid w:val="004A7CBC"/>
    <w:rsid w:val="004B38E6"/>
    <w:rsid w:val="004D1CB6"/>
    <w:rsid w:val="004D31FC"/>
    <w:rsid w:val="0050413E"/>
    <w:rsid w:val="005162A6"/>
    <w:rsid w:val="0053568D"/>
    <w:rsid w:val="00541225"/>
    <w:rsid w:val="005427CD"/>
    <w:rsid w:val="005428AA"/>
    <w:rsid w:val="00543379"/>
    <w:rsid w:val="00543741"/>
    <w:rsid w:val="00545F6D"/>
    <w:rsid w:val="005552F5"/>
    <w:rsid w:val="00557F76"/>
    <w:rsid w:val="0056123E"/>
    <w:rsid w:val="0056307B"/>
    <w:rsid w:val="00565F19"/>
    <w:rsid w:val="00570B35"/>
    <w:rsid w:val="00583FDB"/>
    <w:rsid w:val="00584561"/>
    <w:rsid w:val="00590BD4"/>
    <w:rsid w:val="005974F7"/>
    <w:rsid w:val="00597721"/>
    <w:rsid w:val="005B10F7"/>
    <w:rsid w:val="005B19CE"/>
    <w:rsid w:val="005B1D6D"/>
    <w:rsid w:val="005B6DAC"/>
    <w:rsid w:val="005B78AE"/>
    <w:rsid w:val="005C162B"/>
    <w:rsid w:val="005D39C3"/>
    <w:rsid w:val="005E1E6C"/>
    <w:rsid w:val="005F21D2"/>
    <w:rsid w:val="00603356"/>
    <w:rsid w:val="00611D61"/>
    <w:rsid w:val="00613DC7"/>
    <w:rsid w:val="00622FF8"/>
    <w:rsid w:val="00624B45"/>
    <w:rsid w:val="006324E8"/>
    <w:rsid w:val="00643FE9"/>
    <w:rsid w:val="00650A7D"/>
    <w:rsid w:val="00654738"/>
    <w:rsid w:val="0067097C"/>
    <w:rsid w:val="00677F00"/>
    <w:rsid w:val="0068148E"/>
    <w:rsid w:val="006820D4"/>
    <w:rsid w:val="00691792"/>
    <w:rsid w:val="00696081"/>
    <w:rsid w:val="006979A8"/>
    <w:rsid w:val="006A501A"/>
    <w:rsid w:val="006A6695"/>
    <w:rsid w:val="006B0A3C"/>
    <w:rsid w:val="006B0F04"/>
    <w:rsid w:val="006B294F"/>
    <w:rsid w:val="006C0821"/>
    <w:rsid w:val="006D5C85"/>
    <w:rsid w:val="006D5CEF"/>
    <w:rsid w:val="006D7CFC"/>
    <w:rsid w:val="006E28C0"/>
    <w:rsid w:val="00702877"/>
    <w:rsid w:val="0070336E"/>
    <w:rsid w:val="00713A2D"/>
    <w:rsid w:val="00714B22"/>
    <w:rsid w:val="00715262"/>
    <w:rsid w:val="0072386E"/>
    <w:rsid w:val="007303B4"/>
    <w:rsid w:val="00731939"/>
    <w:rsid w:val="007357AA"/>
    <w:rsid w:val="0074375B"/>
    <w:rsid w:val="007465ED"/>
    <w:rsid w:val="00753EC7"/>
    <w:rsid w:val="00765A3D"/>
    <w:rsid w:val="0077648E"/>
    <w:rsid w:val="007809CB"/>
    <w:rsid w:val="00783683"/>
    <w:rsid w:val="0078544E"/>
    <w:rsid w:val="00793BBD"/>
    <w:rsid w:val="007A524C"/>
    <w:rsid w:val="007C3888"/>
    <w:rsid w:val="007C5B33"/>
    <w:rsid w:val="007D0AB7"/>
    <w:rsid w:val="007E033E"/>
    <w:rsid w:val="007E612B"/>
    <w:rsid w:val="007E77A6"/>
    <w:rsid w:val="007F0313"/>
    <w:rsid w:val="007F4A87"/>
    <w:rsid w:val="008007C0"/>
    <w:rsid w:val="00801D03"/>
    <w:rsid w:val="00805C22"/>
    <w:rsid w:val="00811CFF"/>
    <w:rsid w:val="00822CB7"/>
    <w:rsid w:val="00827BDD"/>
    <w:rsid w:val="008320CA"/>
    <w:rsid w:val="0083493E"/>
    <w:rsid w:val="008357EC"/>
    <w:rsid w:val="008436D6"/>
    <w:rsid w:val="00844FC4"/>
    <w:rsid w:val="00846147"/>
    <w:rsid w:val="008564E1"/>
    <w:rsid w:val="0087169D"/>
    <w:rsid w:val="0087357F"/>
    <w:rsid w:val="008847B0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D657A"/>
    <w:rsid w:val="008E2402"/>
    <w:rsid w:val="008E6532"/>
    <w:rsid w:val="008F6498"/>
    <w:rsid w:val="00913F2D"/>
    <w:rsid w:val="0092472D"/>
    <w:rsid w:val="00924A2A"/>
    <w:rsid w:val="00951156"/>
    <w:rsid w:val="00951DBD"/>
    <w:rsid w:val="00953142"/>
    <w:rsid w:val="0096033E"/>
    <w:rsid w:val="009679C5"/>
    <w:rsid w:val="00972AD1"/>
    <w:rsid w:val="00977D2E"/>
    <w:rsid w:val="00982819"/>
    <w:rsid w:val="00996E74"/>
    <w:rsid w:val="00997250"/>
    <w:rsid w:val="009B0553"/>
    <w:rsid w:val="009B2A80"/>
    <w:rsid w:val="009C7E0C"/>
    <w:rsid w:val="009D7089"/>
    <w:rsid w:val="009E027A"/>
    <w:rsid w:val="009E06DA"/>
    <w:rsid w:val="009E2D16"/>
    <w:rsid w:val="009E6DAA"/>
    <w:rsid w:val="00A1221B"/>
    <w:rsid w:val="00A13D55"/>
    <w:rsid w:val="00A20A69"/>
    <w:rsid w:val="00A21439"/>
    <w:rsid w:val="00A26364"/>
    <w:rsid w:val="00A31B2E"/>
    <w:rsid w:val="00A412FD"/>
    <w:rsid w:val="00A56453"/>
    <w:rsid w:val="00A62065"/>
    <w:rsid w:val="00A6535B"/>
    <w:rsid w:val="00A7710B"/>
    <w:rsid w:val="00A822A8"/>
    <w:rsid w:val="00A871AE"/>
    <w:rsid w:val="00AA4F79"/>
    <w:rsid w:val="00AB0131"/>
    <w:rsid w:val="00AC0598"/>
    <w:rsid w:val="00AC0BFF"/>
    <w:rsid w:val="00AC2707"/>
    <w:rsid w:val="00AD13F5"/>
    <w:rsid w:val="00AE5905"/>
    <w:rsid w:val="00AF1625"/>
    <w:rsid w:val="00AF2013"/>
    <w:rsid w:val="00AF3795"/>
    <w:rsid w:val="00AF5ED4"/>
    <w:rsid w:val="00B21D77"/>
    <w:rsid w:val="00B24BE2"/>
    <w:rsid w:val="00B279CD"/>
    <w:rsid w:val="00B30EA9"/>
    <w:rsid w:val="00B33BB9"/>
    <w:rsid w:val="00B36BC4"/>
    <w:rsid w:val="00B444E2"/>
    <w:rsid w:val="00B61BA6"/>
    <w:rsid w:val="00BA2DC1"/>
    <w:rsid w:val="00BA5650"/>
    <w:rsid w:val="00BA58C3"/>
    <w:rsid w:val="00BA6EC1"/>
    <w:rsid w:val="00BB3BD9"/>
    <w:rsid w:val="00BB648B"/>
    <w:rsid w:val="00BB6CB6"/>
    <w:rsid w:val="00BC55A3"/>
    <w:rsid w:val="00BD1102"/>
    <w:rsid w:val="00BD1658"/>
    <w:rsid w:val="00BE2A96"/>
    <w:rsid w:val="00BF456D"/>
    <w:rsid w:val="00C0507B"/>
    <w:rsid w:val="00C07790"/>
    <w:rsid w:val="00C2112B"/>
    <w:rsid w:val="00C23CD0"/>
    <w:rsid w:val="00C30284"/>
    <w:rsid w:val="00C34E3D"/>
    <w:rsid w:val="00C52454"/>
    <w:rsid w:val="00C61BB0"/>
    <w:rsid w:val="00C6252B"/>
    <w:rsid w:val="00C62A4C"/>
    <w:rsid w:val="00C71683"/>
    <w:rsid w:val="00C72D08"/>
    <w:rsid w:val="00C74238"/>
    <w:rsid w:val="00C93916"/>
    <w:rsid w:val="00CA3E4D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132B1"/>
    <w:rsid w:val="00D166CC"/>
    <w:rsid w:val="00D17EC9"/>
    <w:rsid w:val="00D2010B"/>
    <w:rsid w:val="00D332A9"/>
    <w:rsid w:val="00D524B6"/>
    <w:rsid w:val="00D57E1A"/>
    <w:rsid w:val="00D60DD1"/>
    <w:rsid w:val="00D83DF8"/>
    <w:rsid w:val="00D85DF8"/>
    <w:rsid w:val="00DA29C6"/>
    <w:rsid w:val="00DA441F"/>
    <w:rsid w:val="00DA53D2"/>
    <w:rsid w:val="00DB23A7"/>
    <w:rsid w:val="00DB3B34"/>
    <w:rsid w:val="00DB6BEB"/>
    <w:rsid w:val="00DC23E2"/>
    <w:rsid w:val="00DC4E57"/>
    <w:rsid w:val="00DD09BA"/>
    <w:rsid w:val="00DD7C63"/>
    <w:rsid w:val="00DE0151"/>
    <w:rsid w:val="00DE4052"/>
    <w:rsid w:val="00DE49E9"/>
    <w:rsid w:val="00E034A4"/>
    <w:rsid w:val="00E04A85"/>
    <w:rsid w:val="00E17C8E"/>
    <w:rsid w:val="00E30A24"/>
    <w:rsid w:val="00E360EE"/>
    <w:rsid w:val="00E36728"/>
    <w:rsid w:val="00E43B0A"/>
    <w:rsid w:val="00E6004A"/>
    <w:rsid w:val="00E669DA"/>
    <w:rsid w:val="00E7183B"/>
    <w:rsid w:val="00E858FD"/>
    <w:rsid w:val="00E876BF"/>
    <w:rsid w:val="00E9157E"/>
    <w:rsid w:val="00E9427D"/>
    <w:rsid w:val="00EA2588"/>
    <w:rsid w:val="00EA2E87"/>
    <w:rsid w:val="00EB141F"/>
    <w:rsid w:val="00EB1BDB"/>
    <w:rsid w:val="00EB357E"/>
    <w:rsid w:val="00ED1A40"/>
    <w:rsid w:val="00ED5698"/>
    <w:rsid w:val="00ED6ECA"/>
    <w:rsid w:val="00EE6C53"/>
    <w:rsid w:val="00EF33BF"/>
    <w:rsid w:val="00EF4643"/>
    <w:rsid w:val="00F004BD"/>
    <w:rsid w:val="00F0128E"/>
    <w:rsid w:val="00F0296C"/>
    <w:rsid w:val="00F262FC"/>
    <w:rsid w:val="00F41835"/>
    <w:rsid w:val="00F44C63"/>
    <w:rsid w:val="00F4587B"/>
    <w:rsid w:val="00F46C15"/>
    <w:rsid w:val="00F472FB"/>
    <w:rsid w:val="00F47E14"/>
    <w:rsid w:val="00F62115"/>
    <w:rsid w:val="00F62252"/>
    <w:rsid w:val="00F7550B"/>
    <w:rsid w:val="00F7557D"/>
    <w:rsid w:val="00F8366E"/>
    <w:rsid w:val="00F8592A"/>
    <w:rsid w:val="00F91A4B"/>
    <w:rsid w:val="00F938AB"/>
    <w:rsid w:val="00FA605B"/>
    <w:rsid w:val="00FB2130"/>
    <w:rsid w:val="00FC3C3F"/>
    <w:rsid w:val="00FD3CA7"/>
    <w:rsid w:val="00FD4DBA"/>
    <w:rsid w:val="00FD4FD2"/>
    <w:rsid w:val="00FE132C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7A4ADE10"/>
  <w15:docId w15:val="{C393C484-9FFC-4281-B8A2-FDEB91E2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13D0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3D0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13D0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3D00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13D0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3D0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13D0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313D0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Kildun, Kevin</DisplayName>
        <AccountId>57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E90AC93E-AF2D-45C4-9A3B-982E42A77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8098C-8187-4D25-8691-7B60C7B800BF}"/>
</file>

<file path=customXml/itemProps3.xml><?xml version="1.0" encoding="utf-8"?>
<ds:datastoreItem xmlns:ds="http://schemas.openxmlformats.org/officeDocument/2006/customXml" ds:itemID="{A2A9B74D-AD91-4A33-80B5-538B45100C22}"/>
</file>

<file path=customXml/itemProps4.xml><?xml version="1.0" encoding="utf-8"?>
<ds:datastoreItem xmlns:ds="http://schemas.openxmlformats.org/officeDocument/2006/customXml" ds:itemID="{2C31BD93-C751-42EF-9B4B-9A5A1B760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6449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2019-05-21T15:06:00Z</cp:lastPrinted>
  <dcterms:created xsi:type="dcterms:W3CDTF">2020-06-02T23:21:00Z</dcterms:created>
  <dcterms:modified xsi:type="dcterms:W3CDTF">2020-06-02T23:21:00Z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